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41" w:rsidRDefault="00E47712" w:rsidP="00E47712">
      <w:pPr>
        <w:pStyle w:val="3ParagraphText"/>
        <w:spacing w:line="240" w:lineRule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>The</w:t>
      </w:r>
      <w:r w:rsidR="00BD1E91">
        <w:rPr>
          <w:noProof w:val="0"/>
          <w:sz w:val="22"/>
          <w:szCs w:val="24"/>
        </w:rPr>
        <w:t xml:space="preserve"> Emergency Housing Voucher</w:t>
      </w:r>
      <w:r w:rsidR="00801E41">
        <w:rPr>
          <w:noProof w:val="0"/>
          <w:sz w:val="22"/>
          <w:szCs w:val="24"/>
        </w:rPr>
        <w:t xml:space="preserve"> (</w:t>
      </w:r>
      <w:r w:rsidR="00BD1E91">
        <w:rPr>
          <w:noProof w:val="0"/>
          <w:sz w:val="22"/>
          <w:szCs w:val="24"/>
        </w:rPr>
        <w:t>EH</w:t>
      </w:r>
      <w:r w:rsidR="00801E41">
        <w:rPr>
          <w:noProof w:val="0"/>
          <w:sz w:val="22"/>
          <w:szCs w:val="24"/>
        </w:rPr>
        <w:t>V)</w:t>
      </w:r>
      <w:r>
        <w:rPr>
          <w:noProof w:val="0"/>
          <w:sz w:val="22"/>
          <w:szCs w:val="24"/>
        </w:rPr>
        <w:t xml:space="preserve"> Payment Standards below </w:t>
      </w:r>
      <w:r w:rsidR="004D32AA">
        <w:rPr>
          <w:noProof w:val="0"/>
          <w:sz w:val="22"/>
          <w:szCs w:val="24"/>
        </w:rPr>
        <w:t>are</w:t>
      </w:r>
      <w:r w:rsidRPr="00E47712">
        <w:rPr>
          <w:noProof w:val="0"/>
          <w:sz w:val="22"/>
          <w:szCs w:val="24"/>
        </w:rPr>
        <w:t xml:space="preserve"> </w:t>
      </w:r>
      <w:r w:rsidR="00F04C9E">
        <w:rPr>
          <w:noProof w:val="0"/>
          <w:sz w:val="22"/>
          <w:szCs w:val="24"/>
        </w:rPr>
        <w:t xml:space="preserve">effective for </w:t>
      </w:r>
      <w:r w:rsidR="00BD1E91">
        <w:rPr>
          <w:noProof w:val="0"/>
          <w:sz w:val="22"/>
          <w:szCs w:val="24"/>
        </w:rPr>
        <w:t xml:space="preserve">new </w:t>
      </w:r>
      <w:r w:rsidRPr="00E47712">
        <w:rPr>
          <w:noProof w:val="0"/>
          <w:sz w:val="22"/>
          <w:szCs w:val="24"/>
        </w:rPr>
        <w:t>HAP Contracts</w:t>
      </w:r>
      <w:r w:rsidR="005211B4">
        <w:rPr>
          <w:noProof w:val="0"/>
          <w:sz w:val="22"/>
          <w:szCs w:val="24"/>
        </w:rPr>
        <w:t xml:space="preserve"> and </w:t>
      </w:r>
      <w:r w:rsidR="005211B4" w:rsidRPr="00E47712">
        <w:rPr>
          <w:noProof w:val="0"/>
          <w:sz w:val="22"/>
          <w:szCs w:val="24"/>
        </w:rPr>
        <w:t>Annual Reexaminations</w:t>
      </w:r>
      <w:r w:rsidRPr="00E47712">
        <w:rPr>
          <w:noProof w:val="0"/>
          <w:sz w:val="22"/>
          <w:szCs w:val="24"/>
        </w:rPr>
        <w:t xml:space="preserve"> effective on or after </w:t>
      </w:r>
      <w:r w:rsidR="00801E41">
        <w:rPr>
          <w:noProof w:val="0"/>
          <w:sz w:val="22"/>
          <w:szCs w:val="24"/>
        </w:rPr>
        <w:t>October</w:t>
      </w:r>
      <w:r w:rsidR="005211B4">
        <w:rPr>
          <w:noProof w:val="0"/>
          <w:sz w:val="22"/>
          <w:szCs w:val="24"/>
        </w:rPr>
        <w:t xml:space="preserve"> 1, 202</w:t>
      </w:r>
      <w:r w:rsidR="00BD1E91">
        <w:rPr>
          <w:noProof w:val="0"/>
          <w:sz w:val="22"/>
          <w:szCs w:val="24"/>
        </w:rPr>
        <w:t>1</w:t>
      </w:r>
      <w:r w:rsidRPr="00E47712">
        <w:rPr>
          <w:noProof w:val="0"/>
          <w:sz w:val="22"/>
          <w:szCs w:val="24"/>
        </w:rPr>
        <w:t>.</w:t>
      </w:r>
      <w:r w:rsidR="005211B4">
        <w:rPr>
          <w:noProof w:val="0"/>
          <w:sz w:val="22"/>
          <w:szCs w:val="24"/>
        </w:rPr>
        <w:t xml:space="preserve"> </w:t>
      </w:r>
    </w:p>
    <w:p w:rsidR="00BD1E91" w:rsidRDefault="00E47712" w:rsidP="00E47712">
      <w:pPr>
        <w:pStyle w:val="3ParagraphText"/>
        <w:spacing w:line="240" w:lineRule="auto"/>
        <w:rPr>
          <w:noProof w:val="0"/>
          <w:sz w:val="22"/>
          <w:szCs w:val="24"/>
        </w:rPr>
      </w:pPr>
      <w:r w:rsidRPr="00836FC9">
        <w:rPr>
          <w:noProof w:val="0"/>
          <w:sz w:val="22"/>
          <w:szCs w:val="24"/>
        </w:rPr>
        <w:t>The U.S. Department of Housing and Urban Development (HUD) published final F</w:t>
      </w:r>
      <w:r w:rsidR="002F26B7">
        <w:rPr>
          <w:noProof w:val="0"/>
          <w:sz w:val="22"/>
          <w:szCs w:val="24"/>
        </w:rPr>
        <w:t xml:space="preserve">air Market Rents (FMRs) for </w:t>
      </w:r>
      <w:r w:rsidR="005211B4">
        <w:rPr>
          <w:noProof w:val="0"/>
          <w:sz w:val="22"/>
          <w:szCs w:val="24"/>
        </w:rPr>
        <w:t>202</w:t>
      </w:r>
      <w:r w:rsidR="00BD1E91">
        <w:rPr>
          <w:noProof w:val="0"/>
          <w:sz w:val="22"/>
          <w:szCs w:val="24"/>
        </w:rPr>
        <w:t>1</w:t>
      </w:r>
      <w:r w:rsidRPr="00836FC9">
        <w:rPr>
          <w:noProof w:val="0"/>
          <w:sz w:val="22"/>
          <w:szCs w:val="24"/>
        </w:rPr>
        <w:t xml:space="preserve"> for the </w:t>
      </w:r>
      <w:r w:rsidR="00BD1E91">
        <w:rPr>
          <w:noProof w:val="0"/>
          <w:sz w:val="22"/>
          <w:szCs w:val="24"/>
        </w:rPr>
        <w:t>EH</w:t>
      </w:r>
      <w:r w:rsidR="00801E41">
        <w:rPr>
          <w:noProof w:val="0"/>
          <w:sz w:val="22"/>
          <w:szCs w:val="24"/>
        </w:rPr>
        <w:t>V</w:t>
      </w:r>
      <w:r w:rsidRPr="00836FC9">
        <w:rPr>
          <w:noProof w:val="0"/>
          <w:sz w:val="22"/>
          <w:szCs w:val="24"/>
        </w:rPr>
        <w:t xml:space="preserve"> </w:t>
      </w:r>
      <w:r w:rsidR="00801E41">
        <w:rPr>
          <w:noProof w:val="0"/>
          <w:sz w:val="22"/>
          <w:szCs w:val="24"/>
        </w:rPr>
        <w:t>program effective October 1, 202</w:t>
      </w:r>
      <w:r w:rsidR="00BD1E91">
        <w:rPr>
          <w:noProof w:val="0"/>
          <w:sz w:val="22"/>
          <w:szCs w:val="24"/>
        </w:rPr>
        <w:t>1</w:t>
      </w:r>
      <w:r w:rsidRPr="00836FC9">
        <w:rPr>
          <w:noProof w:val="0"/>
          <w:sz w:val="22"/>
          <w:szCs w:val="24"/>
        </w:rPr>
        <w:t xml:space="preserve">. </w:t>
      </w:r>
      <w:r w:rsidR="00BD1E91">
        <w:rPr>
          <w:noProof w:val="0"/>
          <w:sz w:val="22"/>
          <w:szCs w:val="24"/>
        </w:rPr>
        <w:t>HUD has issued Notice PIH 2021-15, which permits Public Housing Agencies to establish separate higher payments standards</w:t>
      </w:r>
      <w:r w:rsidR="00981F00">
        <w:rPr>
          <w:noProof w:val="0"/>
          <w:sz w:val="22"/>
          <w:szCs w:val="24"/>
        </w:rPr>
        <w:t xml:space="preserve"> up to 120% of the FMR</w:t>
      </w:r>
      <w:r w:rsidR="00BD1E91">
        <w:rPr>
          <w:noProof w:val="0"/>
          <w:sz w:val="22"/>
          <w:szCs w:val="24"/>
        </w:rPr>
        <w:t xml:space="preserve"> for the EHV program.  </w:t>
      </w:r>
    </w:p>
    <w:p w:rsidR="00E47712" w:rsidRDefault="00981F00" w:rsidP="00E47712">
      <w:pPr>
        <w:pStyle w:val="3ParagraphText"/>
        <w:spacing w:line="240" w:lineRule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These higher </w:t>
      </w:r>
      <w:r w:rsidR="00E47712" w:rsidRPr="00836FC9">
        <w:rPr>
          <w:noProof w:val="0"/>
          <w:sz w:val="22"/>
          <w:szCs w:val="24"/>
        </w:rPr>
        <w:t>Payment Standard amounts should allow families a reasonable selection of modest, decent, safe, and sanitary housing in a range of neighborhoods in the PHA’s jurisdiction.</w:t>
      </w:r>
    </w:p>
    <w:tbl>
      <w:tblPr>
        <w:tblStyle w:val="FHTableSetting"/>
        <w:tblpPr w:leftFromText="180" w:rightFromText="180" w:vertAnchor="text" w:horzAnchor="margin" w:tblpXSpec="center" w:tblpY="226"/>
        <w:tblW w:w="9609" w:type="dxa"/>
        <w:tblInd w:w="0" w:type="dxa"/>
        <w:tblLook w:val="0620" w:firstRow="1" w:lastRow="0" w:firstColumn="0" w:lastColumn="0" w:noHBand="1" w:noVBand="1"/>
      </w:tblPr>
      <w:tblGrid>
        <w:gridCol w:w="2232"/>
        <w:gridCol w:w="3727"/>
        <w:gridCol w:w="3650"/>
      </w:tblGrid>
      <w:tr w:rsidR="00801E41" w:rsidRPr="001A4753" w:rsidTr="0015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"/>
        </w:trPr>
        <w:tc>
          <w:tcPr>
            <w:tcW w:w="1161" w:type="pct"/>
          </w:tcPr>
          <w:p w:rsidR="00801E41" w:rsidRPr="00801E41" w:rsidRDefault="00801E41" w:rsidP="00801E41">
            <w:pPr>
              <w:jc w:val="center"/>
              <w:rPr>
                <w:sz w:val="24"/>
              </w:rPr>
            </w:pPr>
            <w:r w:rsidRPr="00801E41">
              <w:rPr>
                <w:sz w:val="24"/>
              </w:rPr>
              <w:t>Voucher Size</w:t>
            </w:r>
          </w:p>
        </w:tc>
        <w:tc>
          <w:tcPr>
            <w:tcW w:w="1939" w:type="pct"/>
          </w:tcPr>
          <w:p w:rsidR="00981F00" w:rsidRDefault="00981F00" w:rsidP="00801E41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2022 FMR’s Effective </w:t>
            </w:r>
          </w:p>
          <w:p w:rsidR="00801E41" w:rsidRPr="00801E41" w:rsidRDefault="00981F00" w:rsidP="0080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10/1/2021</w:t>
            </w:r>
          </w:p>
        </w:tc>
        <w:tc>
          <w:tcPr>
            <w:tcW w:w="1899" w:type="pct"/>
          </w:tcPr>
          <w:p w:rsidR="00801E41" w:rsidRPr="00801E41" w:rsidRDefault="00801E41" w:rsidP="00801E41">
            <w:pPr>
              <w:jc w:val="center"/>
              <w:rPr>
                <w:sz w:val="24"/>
              </w:rPr>
            </w:pPr>
            <w:r w:rsidRPr="00801E41">
              <w:rPr>
                <w:sz w:val="24"/>
              </w:rPr>
              <w:t>Payment Standards Effective 10/1/202</w:t>
            </w:r>
            <w:r w:rsidR="00981F00">
              <w:rPr>
                <w:sz w:val="24"/>
              </w:rPr>
              <w:t>1</w:t>
            </w:r>
          </w:p>
        </w:tc>
      </w:tr>
      <w:tr w:rsidR="00981F00" w:rsidRPr="001A4753" w:rsidTr="00155EA9">
        <w:trPr>
          <w:trHeight w:val="514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0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$899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$1,07</w:t>
            </w:r>
            <w:r w:rsidR="004A10F2">
              <w:rPr>
                <w:sz w:val="28"/>
                <w:szCs w:val="28"/>
              </w:rPr>
              <w:t>8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1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$904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$1,08</w:t>
            </w:r>
            <w:r w:rsidR="004A10F2">
              <w:rPr>
                <w:sz w:val="28"/>
                <w:szCs w:val="28"/>
              </w:rPr>
              <w:t>4</w:t>
            </w:r>
          </w:p>
        </w:tc>
      </w:tr>
      <w:tr w:rsidR="00981F00" w:rsidRPr="001A4753" w:rsidTr="00155EA9">
        <w:trPr>
          <w:trHeight w:val="514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2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$1,137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$1,364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3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$1,607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$1,928</w:t>
            </w:r>
          </w:p>
        </w:tc>
      </w:tr>
      <w:tr w:rsidR="00981F00" w:rsidRPr="001A4753" w:rsidTr="00155EA9">
        <w:trPr>
          <w:trHeight w:val="514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4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$1,847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$2,216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5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$2,124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$2,54</w:t>
            </w:r>
            <w:r w:rsidR="004A10F2">
              <w:rPr>
                <w:sz w:val="28"/>
                <w:szCs w:val="28"/>
              </w:rPr>
              <w:t>8</w:t>
            </w:r>
          </w:p>
        </w:tc>
      </w:tr>
      <w:tr w:rsidR="00981F00" w:rsidRPr="001A4753" w:rsidTr="00155EA9">
        <w:trPr>
          <w:trHeight w:val="514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6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$2,401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$2,881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7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$2,678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$3,21</w:t>
            </w:r>
            <w:r w:rsidR="004A10F2">
              <w:rPr>
                <w:sz w:val="28"/>
                <w:szCs w:val="28"/>
              </w:rPr>
              <w:t>3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8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$2,955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$3,546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9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$3,232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$3,87</w:t>
            </w:r>
            <w:r w:rsidR="004A10F2">
              <w:rPr>
                <w:sz w:val="28"/>
                <w:szCs w:val="28"/>
              </w:rPr>
              <w:t>8</w:t>
            </w:r>
          </w:p>
        </w:tc>
      </w:tr>
      <w:tr w:rsidR="00981F00" w:rsidRPr="001A4753" w:rsidTr="00155EA9">
        <w:trPr>
          <w:trHeight w:val="530"/>
        </w:trPr>
        <w:tc>
          <w:tcPr>
            <w:tcW w:w="1161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10</w:t>
            </w:r>
          </w:p>
        </w:tc>
        <w:tc>
          <w:tcPr>
            <w:tcW w:w="193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$3,509</w:t>
            </w:r>
          </w:p>
        </w:tc>
        <w:tc>
          <w:tcPr>
            <w:tcW w:w="1899" w:type="pct"/>
          </w:tcPr>
          <w:p w:rsidR="00981F00" w:rsidRPr="00981F00" w:rsidRDefault="00981F00" w:rsidP="00981F00">
            <w:pPr>
              <w:jc w:val="center"/>
              <w:rPr>
                <w:sz w:val="28"/>
                <w:szCs w:val="28"/>
              </w:rPr>
            </w:pPr>
            <w:r w:rsidRPr="00981F00">
              <w:rPr>
                <w:sz w:val="28"/>
                <w:szCs w:val="28"/>
              </w:rPr>
              <w:t>$4,21</w:t>
            </w:r>
            <w:r w:rsidR="004A10F2">
              <w:rPr>
                <w:sz w:val="28"/>
                <w:szCs w:val="28"/>
              </w:rPr>
              <w:t>0</w:t>
            </w:r>
          </w:p>
        </w:tc>
      </w:tr>
    </w:tbl>
    <w:p w:rsidR="0051617A" w:rsidRPr="00E47712" w:rsidRDefault="0051617A" w:rsidP="00E47712">
      <w:bookmarkStart w:id="0" w:name="_GoBack"/>
      <w:bookmarkEnd w:id="0"/>
    </w:p>
    <w:sectPr w:rsidR="0051617A" w:rsidRPr="00E47712" w:rsidSect="00EC79ED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12" w:rsidRDefault="00E47712" w:rsidP="009F082E">
      <w:pPr>
        <w:spacing w:after="0" w:line="240" w:lineRule="auto"/>
      </w:pPr>
      <w:r>
        <w:separator/>
      </w:r>
    </w:p>
  </w:endnote>
  <w:endnote w:type="continuationSeparator" w:id="0">
    <w:p w:rsidR="00E47712" w:rsidRDefault="00E47712" w:rsidP="009F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80" w:rsidRPr="0033146C" w:rsidRDefault="0033146C" w:rsidP="0033146C">
    <w:pPr>
      <w:jc w:val="center"/>
      <w:rPr>
        <w:rFonts w:ascii="Palatino Linotype" w:hAnsi="Palatino Linotype"/>
      </w:rPr>
    </w:pPr>
    <w:r w:rsidRPr="00263177">
      <w:rPr>
        <w:rFonts w:ascii="Palatino Linotype" w:hAnsi="Palatino Linotype"/>
      </w:rPr>
      <w:t xml:space="preserve">Source: </w:t>
    </w:r>
    <w:r w:rsidR="00981F00">
      <w:rPr>
        <w:rFonts w:ascii="Palatino Linotype" w:hAnsi="Palatino Linotype"/>
      </w:rPr>
      <w:t>Notice PIH 2021-12 (HA)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12" w:rsidRDefault="00E47712" w:rsidP="009F082E">
      <w:pPr>
        <w:spacing w:after="0" w:line="240" w:lineRule="auto"/>
      </w:pPr>
      <w:r>
        <w:separator/>
      </w:r>
    </w:p>
  </w:footnote>
  <w:footnote w:type="continuationSeparator" w:id="0">
    <w:p w:rsidR="00E47712" w:rsidRDefault="00E47712" w:rsidP="009F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2E" w:rsidRDefault="006F7DD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181610</wp:posOffset>
          </wp:positionV>
          <wp:extent cx="472440" cy="450850"/>
          <wp:effectExtent l="19050" t="0" r="3810" b="0"/>
          <wp:wrapNone/>
          <wp:docPr id="3" name="Picture 2" descr="Equal_Housing_Opportun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Opportunit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247015</wp:posOffset>
          </wp:positionH>
          <wp:positionV relativeFrom="page">
            <wp:posOffset>325120</wp:posOffset>
          </wp:positionV>
          <wp:extent cx="1669415" cy="756285"/>
          <wp:effectExtent l="19050" t="0" r="6985" b="0"/>
          <wp:wrapNone/>
          <wp:docPr id="2" name="Picture 1" descr="FHA final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A final gre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941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7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1788160</wp:posOffset>
              </wp:positionH>
              <wp:positionV relativeFrom="paragraph">
                <wp:posOffset>316230</wp:posOffset>
              </wp:positionV>
              <wp:extent cx="4841240" cy="365760"/>
              <wp:effectExtent l="0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65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2E" w:rsidRPr="009F082E" w:rsidRDefault="009F082E" w:rsidP="00B77E80">
                          <w:pPr>
                            <w:pStyle w:val="0Website"/>
                          </w:pPr>
                          <w:r w:rsidRPr="009F082E">
                            <w:t>www.fresnohousing.org</w:t>
                          </w:r>
                        </w:p>
                        <w:p w:rsidR="009F082E" w:rsidRPr="009F082E" w:rsidRDefault="009F082E" w:rsidP="00B77E80">
                          <w:pPr>
                            <w:pStyle w:val="1Address"/>
                          </w:pPr>
                          <w:r w:rsidRPr="009F082E">
                            <w:t>1331 Fulton Mall, Fresno, California 93721</w:t>
                          </w:r>
                          <w:r w:rsidRPr="009F082E">
                            <w:t> </w:t>
                          </w:r>
                          <w:r w:rsidRPr="009F082E">
                            <w:t>(559) 443-8400</w:t>
                          </w:r>
                          <w:r w:rsidRPr="009F082E">
                            <w:t> </w:t>
                          </w:r>
                          <w:r w:rsidRPr="009F082E">
                            <w:t>TTY (800) 735-2929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8pt;margin-top:24.9pt;width:381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" fillcolor="white [3212]" stroked="f">
              <v:textbox inset="0,0,0,0">
                <w:txbxContent>
                  <w:p w:rsidR="009F082E" w:rsidRPr="009F082E" w:rsidRDefault="009F082E" w:rsidP="00B77E80">
                    <w:pPr>
                      <w:pStyle w:val="0Website"/>
                    </w:pPr>
                    <w:r w:rsidRPr="009F082E">
                      <w:t>www.fresnohousing.org</w:t>
                    </w:r>
                  </w:p>
                  <w:p w:rsidR="009F082E" w:rsidRPr="009F082E" w:rsidRDefault="009F082E" w:rsidP="00B77E80">
                    <w:pPr>
                      <w:pStyle w:val="1Address"/>
                    </w:pPr>
                    <w:r w:rsidRPr="009F082E">
                      <w:t>1331 Fulton Mall, Fresno, California 93721</w:t>
                    </w:r>
                    <w:r w:rsidRPr="009F082E">
                      <w:t> </w:t>
                    </w:r>
                    <w:r w:rsidRPr="009F082E">
                      <w:t>(559) 443-8400</w:t>
                    </w:r>
                    <w:r w:rsidRPr="009F082E">
                      <w:t> </w:t>
                    </w:r>
                    <w:r w:rsidRPr="009F082E">
                      <w:t>TTY (800) 735-2929</w:t>
                    </w:r>
                  </w:p>
                </w:txbxContent>
              </v:textbox>
            </v:shape>
          </w:pict>
        </mc:Fallback>
      </mc:AlternateContent>
    </w:r>
    <w:r w:rsidR="00E477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1161415</wp:posOffset>
              </wp:positionV>
              <wp:extent cx="7315200" cy="0"/>
              <wp:effectExtent l="9525" t="8890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39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1.45pt;width:8in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" strokeweight="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4BCE"/>
    <w:multiLevelType w:val="hybridMultilevel"/>
    <w:tmpl w:val="C91AA58C"/>
    <w:lvl w:ilvl="0" w:tplc="77985C2A">
      <w:start w:val="1"/>
      <w:numFmt w:val="decimal"/>
      <w:pStyle w:val="7NumberList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5F4B"/>
    <w:multiLevelType w:val="hybridMultilevel"/>
    <w:tmpl w:val="64FEF250"/>
    <w:lvl w:ilvl="0" w:tplc="960007D2">
      <w:start w:val="1"/>
      <w:numFmt w:val="bullet"/>
      <w:pStyle w:val="5Bullet"/>
      <w:lvlText w:val="–"/>
      <w:lvlJc w:val="left"/>
      <w:pPr>
        <w:ind w:left="720" w:hanging="360"/>
      </w:pPr>
      <w:rPr>
        <w:rFonts w:ascii="Palatino Linotype" w:hAnsi="Palatino Linotype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66D0"/>
    <w:multiLevelType w:val="hybridMultilevel"/>
    <w:tmpl w:val="F7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785C"/>
    <w:multiLevelType w:val="hybridMultilevel"/>
    <w:tmpl w:val="5394AEF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2"/>
    <w:rsid w:val="00021BF6"/>
    <w:rsid w:val="00155EA9"/>
    <w:rsid w:val="002544F9"/>
    <w:rsid w:val="002766F6"/>
    <w:rsid w:val="002F26B7"/>
    <w:rsid w:val="003261FD"/>
    <w:rsid w:val="0033146C"/>
    <w:rsid w:val="003404F8"/>
    <w:rsid w:val="00396B17"/>
    <w:rsid w:val="003D358C"/>
    <w:rsid w:val="003F1590"/>
    <w:rsid w:val="00416E62"/>
    <w:rsid w:val="004A10F2"/>
    <w:rsid w:val="004D32AA"/>
    <w:rsid w:val="0051617A"/>
    <w:rsid w:val="005211B4"/>
    <w:rsid w:val="006F7DD4"/>
    <w:rsid w:val="00793F3A"/>
    <w:rsid w:val="00801E41"/>
    <w:rsid w:val="00981F00"/>
    <w:rsid w:val="009F082E"/>
    <w:rsid w:val="00B01898"/>
    <w:rsid w:val="00B06766"/>
    <w:rsid w:val="00B77E80"/>
    <w:rsid w:val="00BA0DAA"/>
    <w:rsid w:val="00BB245D"/>
    <w:rsid w:val="00BD1E91"/>
    <w:rsid w:val="00C163BB"/>
    <w:rsid w:val="00C21B3C"/>
    <w:rsid w:val="00C92448"/>
    <w:rsid w:val="00CB0AF9"/>
    <w:rsid w:val="00D731E6"/>
    <w:rsid w:val="00E47712"/>
    <w:rsid w:val="00E521EF"/>
    <w:rsid w:val="00E76866"/>
    <w:rsid w:val="00EB40CE"/>
    <w:rsid w:val="00EC0B14"/>
    <w:rsid w:val="00EC79ED"/>
    <w:rsid w:val="00F0110F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6E583B"/>
  <w15:docId w15:val="{7015B188-AE21-428F-A1E7-DAA114A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477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4F8"/>
  </w:style>
  <w:style w:type="paragraph" w:styleId="Footer">
    <w:name w:val="footer"/>
    <w:basedOn w:val="Normal"/>
    <w:link w:val="FooterChar"/>
    <w:uiPriority w:val="99"/>
    <w:semiHidden/>
    <w:rsid w:val="009F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4F8"/>
  </w:style>
  <w:style w:type="paragraph" w:styleId="BalloonText">
    <w:name w:val="Balloon Text"/>
    <w:basedOn w:val="Normal"/>
    <w:link w:val="BalloonTextChar"/>
    <w:uiPriority w:val="99"/>
    <w:semiHidden/>
    <w:rsid w:val="009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semiHidden/>
    <w:rsid w:val="009F082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ebsite">
    <w:name w:val="website"/>
    <w:basedOn w:val="Normal"/>
    <w:semiHidden/>
    <w:unhideWhenUsed/>
    <w:rsid w:val="003404F8"/>
    <w:pPr>
      <w:spacing w:after="0" w:line="288" w:lineRule="auto"/>
      <w:jc w:val="right"/>
    </w:pPr>
    <w:rPr>
      <w:rFonts w:ascii="Myriad Pro" w:hAnsi="Myriad Pro"/>
      <w:b/>
    </w:rPr>
  </w:style>
  <w:style w:type="paragraph" w:customStyle="1" w:styleId="Addresstext">
    <w:name w:val="Address text"/>
    <w:basedOn w:val="Normal"/>
    <w:semiHidden/>
    <w:unhideWhenUsed/>
    <w:rsid w:val="003404F8"/>
    <w:pPr>
      <w:spacing w:after="0" w:line="288" w:lineRule="auto"/>
      <w:jc w:val="right"/>
    </w:pPr>
    <w:rPr>
      <w:rFonts w:ascii="Myriad Pro" w:hAnsi="Myriad Pro"/>
      <w:sz w:val="18"/>
      <w:szCs w:val="18"/>
    </w:rPr>
  </w:style>
  <w:style w:type="paragraph" w:customStyle="1" w:styleId="6LastBullet">
    <w:name w:val="6. Last Bullet"/>
    <w:basedOn w:val="5Bullet"/>
    <w:qFormat/>
    <w:rsid w:val="00BB245D"/>
    <w:pPr>
      <w:spacing w:after="200"/>
    </w:pPr>
  </w:style>
  <w:style w:type="paragraph" w:customStyle="1" w:styleId="0Website">
    <w:name w:val="0. Website"/>
    <w:basedOn w:val="website"/>
    <w:qFormat/>
    <w:rsid w:val="00B77E80"/>
  </w:style>
  <w:style w:type="paragraph" w:customStyle="1" w:styleId="1Address">
    <w:name w:val="1. Address"/>
    <w:basedOn w:val="Addresstext"/>
    <w:qFormat/>
    <w:rsid w:val="00B77E80"/>
  </w:style>
  <w:style w:type="paragraph" w:customStyle="1" w:styleId="4Paragraph">
    <w:name w:val="4. Paragraph"/>
    <w:qFormat/>
    <w:rsid w:val="00E521EF"/>
    <w:pPr>
      <w:spacing w:before="160" w:after="160" w:line="280" w:lineRule="exact"/>
      <w:jc w:val="both"/>
    </w:pPr>
    <w:rPr>
      <w:rFonts w:ascii="Palatino Linotype" w:hAnsi="Palatino Linotype"/>
      <w:sz w:val="20"/>
      <w:szCs w:val="20"/>
    </w:rPr>
  </w:style>
  <w:style w:type="paragraph" w:customStyle="1" w:styleId="7NumberList">
    <w:name w:val="7. Number List"/>
    <w:qFormat/>
    <w:rsid w:val="00E521EF"/>
    <w:pPr>
      <w:numPr>
        <w:numId w:val="3"/>
      </w:numPr>
      <w:spacing w:after="0"/>
      <w:jc w:val="both"/>
    </w:pPr>
    <w:rPr>
      <w:rFonts w:ascii="Palatino Linotype" w:hAnsi="Palatino Linotype"/>
      <w:sz w:val="20"/>
      <w:szCs w:val="20"/>
    </w:rPr>
  </w:style>
  <w:style w:type="paragraph" w:customStyle="1" w:styleId="3Subtitle">
    <w:name w:val="3. Subtitle"/>
    <w:qFormat/>
    <w:rsid w:val="00E521EF"/>
    <w:rPr>
      <w:rFonts w:ascii="Palatino Linotype" w:hAnsi="Palatino Linotype"/>
      <w:b/>
      <w:sz w:val="24"/>
      <w:szCs w:val="24"/>
    </w:rPr>
  </w:style>
  <w:style w:type="paragraph" w:customStyle="1" w:styleId="2Title">
    <w:name w:val="2. Title"/>
    <w:qFormat/>
    <w:rsid w:val="00E521EF"/>
    <w:rPr>
      <w:rFonts w:ascii="Palatino Linotype" w:hAnsi="Palatino Linotype"/>
      <w:b/>
      <w:sz w:val="32"/>
      <w:szCs w:val="24"/>
    </w:rPr>
  </w:style>
  <w:style w:type="paragraph" w:customStyle="1" w:styleId="5Bullet">
    <w:name w:val="5. Bullet"/>
    <w:basedOn w:val="Normal"/>
    <w:qFormat/>
    <w:rsid w:val="00BB245D"/>
    <w:pPr>
      <w:numPr>
        <w:numId w:val="1"/>
      </w:numPr>
      <w:spacing w:after="0"/>
      <w:jc w:val="both"/>
    </w:pPr>
    <w:rPr>
      <w:rFonts w:ascii="Palatino Linotype" w:hAnsi="Palatino Linotype"/>
      <w:sz w:val="20"/>
      <w:szCs w:val="20"/>
    </w:rPr>
  </w:style>
  <w:style w:type="paragraph" w:customStyle="1" w:styleId="8NumberListLast">
    <w:name w:val="8. Number List Last"/>
    <w:basedOn w:val="7NumberList"/>
    <w:next w:val="4Paragraph"/>
    <w:qFormat/>
    <w:rsid w:val="00E521EF"/>
    <w:pPr>
      <w:spacing w:after="160"/>
    </w:pPr>
  </w:style>
  <w:style w:type="paragraph" w:customStyle="1" w:styleId="3ParagraphText">
    <w:name w:val="3. Paragraph Text"/>
    <w:qFormat/>
    <w:rsid w:val="00E47712"/>
    <w:pPr>
      <w:spacing w:line="280" w:lineRule="exact"/>
      <w:jc w:val="both"/>
    </w:pPr>
    <w:rPr>
      <w:rFonts w:ascii="Palatino Linotype" w:eastAsiaTheme="minorEastAsia" w:hAnsi="Palatino Linotype"/>
      <w:noProof/>
      <w:sz w:val="20"/>
      <w:szCs w:val="20"/>
    </w:rPr>
  </w:style>
  <w:style w:type="table" w:customStyle="1" w:styleId="FHTableSetting">
    <w:name w:val="FH Table Setting"/>
    <w:basedOn w:val="TableGrid"/>
    <w:uiPriority w:val="61"/>
    <w:rsid w:val="00E47712"/>
    <w:rPr>
      <w:rFonts w:ascii="Palatino Linotype" w:eastAsiaTheme="minorEastAsia" w:hAnsi="Palatino Linotype"/>
      <w:sz w:val="20"/>
      <w:szCs w:val="20"/>
    </w:rPr>
    <w:tblPr>
      <w:tblStyleRowBandSize w:val="1"/>
      <w:tblStyleColBandSize w:val="1"/>
      <w:tblInd w:w="72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rPr>
        <w:cantSplit/>
        <w:tblHeader/>
      </w:trPr>
      <w:tcPr>
        <w:tc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cBorders>
        <w:shd w:val="clear" w:color="auto" w:fill="D9D9D9" w:themeFill="background1" w:themeFillShade="D9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47712"/>
    <w:pPr>
      <w:ind w:left="720"/>
      <w:contextualSpacing/>
    </w:pPr>
  </w:style>
  <w:style w:type="table" w:styleId="TableGrid">
    <w:name w:val="Table Grid"/>
    <w:basedOn w:val="TableNormal"/>
    <w:uiPriority w:val="59"/>
    <w:rsid w:val="00E4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HA Final Theme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455560"/>
      </a:accent1>
      <a:accent2>
        <a:srgbClr val="6CB33F"/>
      </a:accent2>
      <a:accent3>
        <a:srgbClr val="F58025"/>
      </a:accent3>
      <a:accent4>
        <a:srgbClr val="894199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Johnson</dc:creator>
  <cp:lastModifiedBy>Yolanda Keiser</cp:lastModifiedBy>
  <cp:revision>2</cp:revision>
  <cp:lastPrinted>2012-02-02T22:05:00Z</cp:lastPrinted>
  <dcterms:created xsi:type="dcterms:W3CDTF">2021-08-30T23:40:00Z</dcterms:created>
  <dcterms:modified xsi:type="dcterms:W3CDTF">2021-08-30T23:40:00Z</dcterms:modified>
</cp:coreProperties>
</file>